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吴起县情概况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吴起县位于延安市西北部，西北邻定边县，东南接志丹县，东北连靖边县，西南毗邻甘肃省华池县。全县辖8镇1街道，91个村8个城市社区，土地总面积3791.5平方公里，总人口14.3万人。战国时期，著名军事家、政治家吴起曾在此屯兵戍边23年，吴起县名即源于此。1935年10月19日，中央红军经过二万五千里长征胜利到达吴起。抗日战争和解放战争时期，吴起成为陕甘宁边区和陇东分区的革命大后方。1998年积极响应中央提出的“再造一个山川秀美的西北地区”口号，吴起县在全国率先实施封山禁牧和退耕还林，成为全国退耕还林第一县。2010年，吴起县在全国率先实施十五年免费教育而名享全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今年以来，吴起县认真贯彻落实中省市的决策部署，以推动高质量发展为主线，以加快转型发展、奋力追赶超越、重回全省十强为目标，以打赢打好“三场攻坚战”为抓手，深入实施政治引领、经济转型、文旅带动、城镇提质、乡村振兴、生态优化、民生改善、法治保障“八项战略”，精准发力，主动作为，真抓实干，统筹推进稳增长、调结构、促改革、惠民生、防风险、保稳定工作，加快建设经济强、百姓富、环境美、社会文明程度高的新吴起。2018年，完成地区生产总值150.7亿元，社会消费品零售总额12.1亿元，地方财政收入18.98亿元，城镇、农村居民人均可支配收入分别为33628元和10956元。县域经济综合实力位居西部百强县第78位、全国投资潜力百强县第83位，是延安唯一上榜全国投资潜力百强县的县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吴起县县域综合实力连续12届蝉联“陕西十强县”，4届跻身“全国县域经济与县域基本竞争力百强县”。先后荣获“国家卫生县城”、“全国文明城市”、“国家水土保持生态文明县”、“国家级生态示范区”、“全国义务教育发展基本均衡县”、“全国科普示范县”等多项殊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吴起县旅游资源概况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全县现有各类景区9处，其中AAA级景区3处（中央红军长征胜利纪念园、铁边城古镇、南沟生态休闲度假村）。旅游资源主要分四大类：古迹资源（秦长城、明长城、铁边古城、琵琶城古城等100多处历史遗址），红色资源（胜利山切尾巴战役遗址、陕甘宁省委与省苏维埃政府旧址，刘志丹革命旧址，毛泽东、周恩来、彭德怀、叶剑英、邓小平、林伯渠旧居等），绿色资源（退耕还林森林公园及展馆、南沟村水库、周湾水库等），民俗资源（铁边城古镇、小口则民俗村、中台民俗文化村及民间艺术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一）古迹历史资源底蕴深厚。战国时期，著名军事家和政治家吴起将军在此屯兵戍边长达23年，其所著的《吴起兵法》可与《孙子兵法》媲美，后人为了纪念他的历史功勋，就用他的名字命名吴起县。在吴起，有南北分立的两条古长城遗址，一条是战国时期秦国修建的秦长城，位于吴起南部子午岭的山梁沟壑上，绵延230多公里，时间已经有两千多年；一条是明朝时期修建的明长城，位于吴起县东北部毛乌素沙漠边缘白于山区的周湾长城两镇，蜿蜒18.5公里，也有六百多年历史。吴起还有秦始皇时期修筑的军事大道——秦直道，传说当年昭君出塞时曾路过这里，还留下一些动人的故事。吴起还有历朝历代修筑的古城寨堡100多处，其中最著名的有被列入全省31个文化旅游名镇的铁边城，有北宋与西夏反复争夺的白豹城，有明长城九边重镇之一的宁塞堡等。这些古城寨堡都是同战争与防御紧密地联系在一起，让后人知道吴起沉寂的发展历史。这是吴起县发展旅游业最为宝贵的历史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二）红色革命资源闻名中外。上个世纪二三十年代（1928年至1935年），刘志丹在吴起闹革命，建立了陕北革命根据地。1935年10月19日，中央红军历经艰险、经过二万五千里长征到达吴起镇，毛主席指挥了著名的“切尾巴”战役，结束了举世闻名的万里长征，吴起成为长征胜利的落脚点，在中国革命史上留下了浓重一笔，同时在吴起大地上留下了众多革命旧址和革命故事，主要有刘志丹革命旧址，毛泽东旧居，习仲勋旧居、陕甘宁省委与省苏维埃政府旧址，邓小平、叶剑英、彭德怀旧居等。2009年6月7月，习近平总书记在考察甘肃省华池县南梁时说：“陕甘边革命根据地是党中央和中央红军长征的落脚点，也是八路军抗日的出发点……。吴起作为土地革命战争时期全国硕果仅存的西北革命根据地的重要组成部分，成为中央红军长征的落脚点、抗日战争时期后方战略基地、解放战争中击退胡宗南部的前哨，为支援前线，取得革命胜利作出了重大贡献，培育了光荣的革命传统和优良作风，在中共陕西历史，乃至中国共产党历史上写下了光辉的一页”。吴起革命旧址资源在全国是独一无二的，也是吴起县最叫响的红色旅游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三）绿色生态资源璀璨夺目。吴起曾经是水土流失最为严重的县份之一。为改变穷山恶水的恶劣环境，1998年，吴起在全国率先实施封山禁牧，1999年，在全县又全面实施退耕还林生态修复工程。经过近二十年的坚持封禁、还林、管护等，使全县植被得到有效恢复，生态环境大为改善，成为名副其实的全国退耕还林第一县，成为黄土高原上的绿洲。2015年8月，反映世界最大的生态工程，我国政府实施的退耕还林工程建设成就的生态公益电影——《山丹丹花儿开》首映式在北京金鸡百花影院举行，片段中有好多镜头都再现了吴起的退耕还林场景。因此，如何利用好退耕还林成果，开发绿色生态休闲游，增加吴起旅游看点，也是吴起发展旅游业不可缺少的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四）民俗文化资源原始纯朴。游牧与农耕文明的交融，形成了吴起原始纯朴、厚道大方的民俗民风。窑洞是陕北特色最集中的体现：土窑、石窑、砖窑、接口窑、土坯窑、过洞窑、一明两暗窑、石窨子窑、房窑等，窑洞景观反映着独特的黄土文化；吴起流传许多民间艺术，如武艺—铁鞭舞、鼓艺—老鼓、画艺—糜粘画、手艺—地毯、鞋垫、枕头、柳编等，充分展现了吴起民间文化艺术的魅力；吴起盛产荞麦、糜子、谷子、豆子等五谷杂粮，地椒羊肉、荞麦香醋闻名陕北，最具特色的羊肉剁荞面，飘香两千多年，曾是汉武帝的宫廷御宴，同时被誉为“万里长征第一面”。因此，开发吴起民俗旅游，是吴起发展旅游最不可缺少的重要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4"/>
          <w:szCs w:val="24"/>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附件3</w:t>
      </w:r>
    </w:p>
    <w:tbl>
      <w:tblPr>
        <w:tblStyle w:val="5"/>
        <w:tblpPr w:leftFromText="180" w:rightFromText="180" w:vertAnchor="text" w:horzAnchor="page" w:tblpX="1146" w:tblpY="675"/>
        <w:tblOverlap w:val="never"/>
        <w:tblW w:w="101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30"/>
        <w:gridCol w:w="150"/>
        <w:gridCol w:w="840"/>
        <w:gridCol w:w="1365"/>
        <w:gridCol w:w="2535"/>
        <w:gridCol w:w="3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80" w:type="dxa"/>
            <w:gridSpan w:val="2"/>
            <w:tcBorders>
              <w:bottom w:val="single" w:color="auto" w:sz="6" w:space="0"/>
              <w:right w:val="single" w:color="auto" w:sz="4"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负责人姓名</w:t>
            </w:r>
          </w:p>
        </w:tc>
        <w:tc>
          <w:tcPr>
            <w:tcW w:w="2205" w:type="dxa"/>
            <w:gridSpan w:val="2"/>
            <w:tcBorders>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2535" w:type="dxa"/>
            <w:tcBorders>
              <w:left w:val="single" w:color="auto" w:sz="4"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负责人身份证号码</w:t>
            </w:r>
          </w:p>
        </w:tc>
        <w:tc>
          <w:tcPr>
            <w:tcW w:w="3735" w:type="dxa"/>
            <w:tcBorders>
              <w:left w:val="nil"/>
              <w:bottom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680" w:type="dxa"/>
            <w:gridSpan w:val="2"/>
            <w:tcBorders>
              <w:top w:val="nil"/>
              <w:bottom w:val="single" w:color="auto" w:sz="6" w:space="0"/>
              <w:right w:val="single" w:color="auto" w:sz="4"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通信地址</w:t>
            </w:r>
          </w:p>
        </w:tc>
        <w:tc>
          <w:tcPr>
            <w:tcW w:w="8475" w:type="dxa"/>
            <w:gridSpan w:val="4"/>
            <w:tcBorders>
              <w:top w:val="nil"/>
              <w:left w:val="single" w:color="auto" w:sz="4" w:space="0"/>
              <w:bottom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680" w:type="dxa"/>
            <w:gridSpan w:val="2"/>
            <w:tcBorders>
              <w:top w:val="nil"/>
              <w:bottom w:val="single" w:color="auto" w:sz="6" w:space="0"/>
              <w:right w:val="single" w:color="auto" w:sz="4"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联系电话</w:t>
            </w:r>
          </w:p>
        </w:tc>
        <w:tc>
          <w:tcPr>
            <w:tcW w:w="2205" w:type="dxa"/>
            <w:gridSpan w:val="2"/>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2535" w:type="dxa"/>
            <w:tcBorders>
              <w:top w:val="single" w:color="auto" w:sz="6" w:space="0"/>
              <w:left w:val="single" w:color="auto" w:sz="4"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电子邮箱</w:t>
            </w:r>
          </w:p>
        </w:tc>
        <w:tc>
          <w:tcPr>
            <w:tcW w:w="3735" w:type="dxa"/>
            <w:tcBorders>
              <w:top w:val="single" w:color="auto" w:sz="6" w:space="0"/>
              <w:left w:val="nil"/>
              <w:bottom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680" w:type="dxa"/>
            <w:gridSpan w:val="2"/>
            <w:tcBorders>
              <w:top w:val="nil"/>
              <w:bottom w:val="single" w:color="auto" w:sz="6" w:space="0"/>
              <w:right w:val="single" w:color="auto" w:sz="4"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作品内容</w:t>
            </w:r>
          </w:p>
        </w:tc>
        <w:tc>
          <w:tcPr>
            <w:tcW w:w="8475" w:type="dxa"/>
            <w:gridSpan w:val="4"/>
            <w:tcBorders>
              <w:top w:val="nil"/>
              <w:left w:val="single" w:color="auto" w:sz="4" w:space="0"/>
              <w:bottom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0155" w:type="dxa"/>
            <w:gridSpan w:val="6"/>
            <w:tcBorders>
              <w:top w:val="nil"/>
              <w:bottom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创作人员信息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530" w:type="dxa"/>
            <w:tcBorders>
              <w:top w:val="nil"/>
              <w:bottom w:val="single" w:color="auto" w:sz="6" w:space="0"/>
              <w:right w:val="single" w:color="auto" w:sz="4"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姓名</w:t>
            </w:r>
          </w:p>
        </w:tc>
        <w:tc>
          <w:tcPr>
            <w:tcW w:w="990" w:type="dxa"/>
            <w:gridSpan w:val="2"/>
            <w:tcBorders>
              <w:top w:val="single" w:color="auto" w:sz="6" w:space="0"/>
              <w:left w:val="single" w:color="auto" w:sz="4"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性别</w:t>
            </w:r>
          </w:p>
        </w:tc>
        <w:tc>
          <w:tcPr>
            <w:tcW w:w="1365" w:type="dxa"/>
            <w:tcBorders>
              <w:top w:val="single" w:color="auto" w:sz="6" w:space="0"/>
              <w:left w:val="nil"/>
              <w:bottom w:val="single" w:color="auto" w:sz="6" w:space="0"/>
              <w:right w:val="single" w:color="auto" w:sz="4"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工作单位</w:t>
            </w:r>
          </w:p>
        </w:tc>
        <w:tc>
          <w:tcPr>
            <w:tcW w:w="2535" w:type="dxa"/>
            <w:tcBorders>
              <w:top w:val="single" w:color="auto" w:sz="6" w:space="0"/>
              <w:left w:val="single" w:color="auto" w:sz="4"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身份证号码</w:t>
            </w:r>
          </w:p>
        </w:tc>
        <w:tc>
          <w:tcPr>
            <w:tcW w:w="3735" w:type="dxa"/>
            <w:tcBorders>
              <w:top w:val="single" w:color="auto" w:sz="6" w:space="0"/>
              <w:left w:val="nil"/>
              <w:bottom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530" w:type="dxa"/>
            <w:tcBorders>
              <w:top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990"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1365" w:type="dxa"/>
            <w:tcBorders>
              <w:top w:val="nil"/>
              <w:left w:val="nil"/>
              <w:bottom w:val="single" w:color="auto" w:sz="6" w:space="0"/>
              <w:right w:val="single" w:color="auto" w:sz="4"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2535"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3735" w:type="dxa"/>
            <w:tcBorders>
              <w:top w:val="nil"/>
              <w:left w:val="nil"/>
              <w:bottom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530" w:type="dxa"/>
            <w:tcBorders>
              <w:top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990"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1365" w:type="dxa"/>
            <w:tcBorders>
              <w:top w:val="nil"/>
              <w:left w:val="nil"/>
              <w:bottom w:val="single" w:color="auto" w:sz="6" w:space="0"/>
              <w:right w:val="single" w:color="auto" w:sz="4"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2535"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3735" w:type="dxa"/>
            <w:tcBorders>
              <w:top w:val="nil"/>
              <w:left w:val="nil"/>
              <w:bottom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530" w:type="dxa"/>
            <w:tcBorders>
              <w:top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990"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1365" w:type="dxa"/>
            <w:tcBorders>
              <w:top w:val="nil"/>
              <w:left w:val="nil"/>
              <w:bottom w:val="single" w:color="auto" w:sz="6" w:space="0"/>
              <w:right w:val="single" w:color="auto" w:sz="4"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2535"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c>
          <w:tcPr>
            <w:tcW w:w="3735" w:type="dxa"/>
            <w:tcBorders>
              <w:top w:val="nil"/>
              <w:left w:val="nil"/>
              <w:bottom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235" w:hRule="atLeast"/>
        </w:trPr>
        <w:tc>
          <w:tcPr>
            <w:tcW w:w="10155" w:type="dxa"/>
            <w:gridSpan w:val="6"/>
            <w:tcBorders>
              <w:top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征集作品创意说明（300字以内）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4"/>
                <w:szCs w:val="24"/>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吴起文旅宣传口号、形象标识和城市IP征集表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作品真实性承诺书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本人承诺对投稿作品及所提供资料的真实性、符合性、原创性负责，愿意承担因侵权、抄袭、虚假等引发的一切法律责任。如有违反上述承诺的行为，同意撤销相应评定资格。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b w:val="0"/>
          <w:i w:val="0"/>
          <w:caps w:val="0"/>
          <w:color w:val="333333"/>
          <w:spacing w:val="8"/>
          <w:sz w:val="25"/>
          <w:szCs w:val="25"/>
          <w:lang w:val="en-US" w:eastAsia="zh-CN"/>
        </w:rPr>
      </w:pPr>
      <w:r>
        <w:rPr>
          <w:rFonts w:hint="eastAsia" w:ascii="微软雅黑" w:hAnsi="微软雅黑" w:eastAsia="微软雅黑" w:cs="微软雅黑"/>
          <w:b w:val="0"/>
          <w:i w:val="0"/>
          <w:caps w:val="0"/>
          <w:color w:val="333333"/>
          <w:spacing w:val="8"/>
          <w:sz w:val="24"/>
          <w:szCs w:val="24"/>
          <w:bdr w:val="none" w:color="auto" w:sz="0" w:space="0"/>
          <w:shd w:val="clear" w:fill="FFFFFF"/>
        </w:rPr>
        <w:t>投稿单位（盖章）：          法人代表（签字）：</w:t>
      </w:r>
      <w:r>
        <w:rPr>
          <w:rFonts w:hint="eastAsia" w:ascii="微软雅黑" w:hAnsi="微软雅黑" w:eastAsia="微软雅黑" w:cs="微软雅黑"/>
          <w:b w:val="0"/>
          <w:i w:val="0"/>
          <w:caps w:val="0"/>
          <w:color w:val="333333"/>
          <w:spacing w:val="8"/>
          <w:sz w:val="24"/>
          <w:szCs w:val="24"/>
          <w:bdr w:val="none" w:color="auto" w:sz="0" w:space="0"/>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团队负责（签字）：        投稿个人（签字）：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时间：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lang w:eastAsia="zh-CN"/>
      </w:rPr>
    </w:pPr>
    <w:r>
      <w:rPr>
        <w:rFonts w:hint="eastAsia"/>
        <w:lang w:eastAsia="zh-CN"/>
      </w:rPr>
      <w:t>全球征集网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97D66"/>
    <w:rsid w:val="07097D66"/>
    <w:rsid w:val="074D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2019-10-05T09:50:00Z</dcterms:created>
  <dc:creator>专业投票---小新</dc:creator>
  <cp:lastModifiedBy>专业投票---小新</cp:lastModifiedBy>
  <dcterms:modified xsi:type="dcterms:W3CDTF">2019-10-05T09:58:08Z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