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u w:val="none"/>
          <w:lang w:val="en-US" w:eastAsia="zh-CN"/>
        </w:rPr>
        <w:t>黄河三角洲富有活力的青年友好型城市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u w:val="none"/>
          <w:lang w:val="en-US" w:eastAsia="zh-CN"/>
        </w:rPr>
        <w:t>品牌文创大赛报名表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75"/>
        <w:gridCol w:w="2185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信息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2" w:hRule="atLeast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6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u w:val="none"/>
          <w:lang w:val="en-US" w:eastAsia="zh-CN"/>
        </w:rPr>
        <w:t>黄河三角洲富有活力的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u w:val="none"/>
          <w:lang w:val="en-US" w:eastAsia="zh-CN"/>
        </w:rPr>
        <w:t>青年友好型城市品牌文创大赛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参赛承诺书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大赛组委会：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承诺人（参赛者）在充分知晓并自愿接受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黄河三角洲富有活力的青年友好型城市品牌文创大赛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（以下简称“文创设计大赛”）《大赛征集令》的前提下，谨做出以下承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一、参赛者保证对参赛作品拥有充分、完全、排他的知识产权，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TW"/>
        </w:rPr>
        <w:t>此前未以任何形式发表，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不侵犯任何他人的专利、著作权、商标权及其他知识产权；如发生侵权行为，与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大赛组委会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、参赛者同意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所有来稿一律不予退还，须保留图片和文字原稿，以备查证。如果出现创意相同或类似的应征作品，则以收件时间的先后时序确定第一创意者。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设计大赛系参赛者自愿参加，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u w:val="none"/>
          <w:lang w:val="en-US" w:eastAsia="zh-CN"/>
        </w:rPr>
        <w:t>其著作权归主办单位独家所有。主办单位对参赛作品享有《中华人民共和国著作权法》规定的一切著作权（参赛者可保留署名权）和使用权。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四、参赛者如因参赛作品的权利瑕疵或其内容虚假、非法、不正当，或任何其他不合理原因而产生法律纠纷的，参赛者自行承担法律后果，并赔偿大赛组委会因此产生的一切损失。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zh-TW" w:eastAsia="zh-TW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、参赛者自愿接受本须知条款的约束，大赛最终解释权属主办单位。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  <w:t>                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 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         参赛者（团队为第一作者）手写签名：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                                              年   月   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28" w:left="1531" w:header="851" w:footer="150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20358"/>
    <w:rsid w:val="087D7F76"/>
    <w:rsid w:val="0B056B31"/>
    <w:rsid w:val="16A71622"/>
    <w:rsid w:val="201154A2"/>
    <w:rsid w:val="21B25367"/>
    <w:rsid w:val="250A3935"/>
    <w:rsid w:val="27815D5B"/>
    <w:rsid w:val="293B4E09"/>
    <w:rsid w:val="2B07777B"/>
    <w:rsid w:val="2E162D1D"/>
    <w:rsid w:val="2E7257F9"/>
    <w:rsid w:val="2F7C404F"/>
    <w:rsid w:val="32EE2AE8"/>
    <w:rsid w:val="336605F6"/>
    <w:rsid w:val="33C51F1A"/>
    <w:rsid w:val="392C64DF"/>
    <w:rsid w:val="3BF419D0"/>
    <w:rsid w:val="3D011F58"/>
    <w:rsid w:val="3FFE2612"/>
    <w:rsid w:val="4614628B"/>
    <w:rsid w:val="46A17CF8"/>
    <w:rsid w:val="49AD28E9"/>
    <w:rsid w:val="4BCC60A3"/>
    <w:rsid w:val="4DDC2F86"/>
    <w:rsid w:val="4E4D3F99"/>
    <w:rsid w:val="50E31C34"/>
    <w:rsid w:val="53A029A6"/>
    <w:rsid w:val="54B74E6F"/>
    <w:rsid w:val="55333DCA"/>
    <w:rsid w:val="58B26D91"/>
    <w:rsid w:val="59680B48"/>
    <w:rsid w:val="5A762E88"/>
    <w:rsid w:val="60144751"/>
    <w:rsid w:val="602700D4"/>
    <w:rsid w:val="60706D37"/>
    <w:rsid w:val="642E6D1F"/>
    <w:rsid w:val="6E1F3002"/>
    <w:rsid w:val="70550949"/>
    <w:rsid w:val="795C4ED2"/>
    <w:rsid w:val="7E236681"/>
    <w:rsid w:val="7F85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3177</Words>
  <Characters>3381</Characters>
  <Paragraphs>155</Paragraphs>
  <TotalTime>2</TotalTime>
  <ScaleCrop>false</ScaleCrop>
  <LinksUpToDate>false</LinksUpToDate>
  <CharactersWithSpaces>3420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2020-10-18T00:53:00Z</dcterms:created>
  <dc:creator>zm-pc</dc:creator>
  <cp:lastModifiedBy>辰</cp:lastModifiedBy>
  <cp:lastPrinted>2020-10-20T04:49:00Z</cp:lastPrinted>
  <dcterms:modified xsi:type="dcterms:W3CDTF">2021-03-15T07:10:26Z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